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B5B4" w14:textId="77777777" w:rsidR="009F2835" w:rsidRDefault="0032229B">
      <w:pPr>
        <w:spacing w:before="76"/>
        <w:ind w:left="2911" w:right="2713"/>
        <w:jc w:val="center"/>
        <w:rPr>
          <w:sz w:val="24"/>
        </w:rPr>
      </w:pPr>
      <w:r>
        <w:rPr>
          <w:sz w:val="24"/>
        </w:rPr>
        <w:t>STATEMENT OF WORK</w:t>
      </w:r>
    </w:p>
    <w:p w14:paraId="3A3E69F9" w14:textId="77777777" w:rsidR="009F2835" w:rsidRDefault="00FC5D53" w:rsidP="005545C5">
      <w:pPr>
        <w:spacing w:before="231"/>
        <w:ind w:left="2911" w:right="2713"/>
        <w:jc w:val="center"/>
        <w:rPr>
          <w:b/>
          <w:sz w:val="18"/>
        </w:rPr>
      </w:pPr>
      <w:r>
        <w:rPr>
          <w:b/>
          <w:sz w:val="18"/>
        </w:rPr>
        <w:t xml:space="preserve"> FY22</w:t>
      </w:r>
      <w:r w:rsidR="0032229B">
        <w:rPr>
          <w:b/>
          <w:sz w:val="18"/>
        </w:rPr>
        <w:t xml:space="preserve"> LAUNDRY SERVICE FOR CFAS </w:t>
      </w:r>
      <w:r w:rsidR="005545C5">
        <w:rPr>
          <w:b/>
          <w:sz w:val="18"/>
        </w:rPr>
        <w:t>R</w:t>
      </w:r>
      <w:r w:rsidR="0032229B">
        <w:rPr>
          <w:b/>
          <w:sz w:val="18"/>
        </w:rPr>
        <w:t>TPD</w:t>
      </w:r>
    </w:p>
    <w:p w14:paraId="0774360D" w14:textId="77777777" w:rsidR="009F2835" w:rsidRDefault="009F2835">
      <w:pPr>
        <w:pStyle w:val="a3"/>
        <w:spacing w:before="8"/>
        <w:rPr>
          <w:b/>
          <w:sz w:val="17"/>
          <w:u w:val="none"/>
        </w:rPr>
      </w:pPr>
    </w:p>
    <w:p w14:paraId="104A33DE" w14:textId="77777777" w:rsidR="00244D47" w:rsidRDefault="0032229B" w:rsidP="00244D47">
      <w:pPr>
        <w:pStyle w:val="a3"/>
        <w:ind w:left="120" w:right="342"/>
        <w:rPr>
          <w:u w:val="none"/>
        </w:rPr>
      </w:pPr>
      <w:r>
        <w:t>Work Requirements</w:t>
      </w:r>
      <w:r>
        <w:rPr>
          <w:u w:val="none"/>
        </w:rPr>
        <w:t>: The Contractor shall provide all necessary labor, transportation, equipment, and material to perform the laundry services for Government-owned articles in accordance with terms and conditions stipulated herein. The contractor shall provide laundry service to the requesting activities on Sasebo U.S. Naval Base by pick up the soiled articles and return laundered articles with his vehicles in the interval which is pre-arranged by individual requesting activities between pick-up and return.</w:t>
      </w:r>
      <w:r w:rsidR="00244D47">
        <w:rPr>
          <w:u w:val="none"/>
        </w:rPr>
        <w:t xml:space="preserve"> </w:t>
      </w:r>
    </w:p>
    <w:p w14:paraId="09B48665" w14:textId="77777777" w:rsidR="00244D47" w:rsidRDefault="00244D47" w:rsidP="00244D47">
      <w:pPr>
        <w:pStyle w:val="a3"/>
        <w:ind w:left="120" w:right="342"/>
        <w:rPr>
          <w:u w:val="none"/>
        </w:rPr>
      </w:pPr>
    </w:p>
    <w:p w14:paraId="6D9493C0" w14:textId="77777777" w:rsidR="00FC5D53" w:rsidRPr="00FC5D53" w:rsidRDefault="00244D47" w:rsidP="00FC5D53">
      <w:pPr>
        <w:pStyle w:val="a3"/>
        <w:ind w:left="120" w:right="342"/>
        <w:rPr>
          <w:b/>
          <w:u w:val="none"/>
        </w:rPr>
      </w:pPr>
      <w:r>
        <w:rPr>
          <w:u w:val="none"/>
        </w:rPr>
        <w:t xml:space="preserve">Period of Performance: </w:t>
      </w:r>
      <w:r w:rsidR="00FC5D53">
        <w:rPr>
          <w:b/>
          <w:u w:val="none"/>
        </w:rPr>
        <w:t>15-OCT-2021 to 14-OCT-2022</w:t>
      </w:r>
    </w:p>
    <w:p w14:paraId="77F51C64" w14:textId="77777777" w:rsidR="009F2835" w:rsidRDefault="009F2835">
      <w:pPr>
        <w:pStyle w:val="a3"/>
        <w:rPr>
          <w:sz w:val="18"/>
          <w:u w:val="none"/>
        </w:rPr>
      </w:pPr>
    </w:p>
    <w:p w14:paraId="114F1B0C" w14:textId="77777777" w:rsidR="009F2835" w:rsidRDefault="0032229B">
      <w:pPr>
        <w:pStyle w:val="a4"/>
        <w:numPr>
          <w:ilvl w:val="1"/>
          <w:numId w:val="1"/>
        </w:numPr>
        <w:tabs>
          <w:tab w:val="left" w:pos="421"/>
        </w:tabs>
        <w:ind w:firstLine="0"/>
        <w:rPr>
          <w:sz w:val="20"/>
          <w:u w:val="none"/>
        </w:rPr>
      </w:pPr>
      <w:r>
        <w:rPr>
          <w:sz w:val="20"/>
          <w:u w:val="none"/>
        </w:rPr>
        <w:t>The Contractor shall accomplish laundry services as</w:t>
      </w:r>
      <w:r>
        <w:rPr>
          <w:spacing w:val="-23"/>
          <w:sz w:val="20"/>
          <w:u w:val="none"/>
        </w:rPr>
        <w:t xml:space="preserve"> </w:t>
      </w:r>
      <w:r>
        <w:rPr>
          <w:sz w:val="20"/>
          <w:u w:val="none"/>
        </w:rPr>
        <w:t>follows:</w:t>
      </w:r>
    </w:p>
    <w:p w14:paraId="22CD526F" w14:textId="77777777" w:rsidR="009F2835" w:rsidRDefault="009F2835">
      <w:pPr>
        <w:pStyle w:val="a3"/>
        <w:spacing w:before="11"/>
        <w:rPr>
          <w:sz w:val="19"/>
          <w:u w:val="none"/>
        </w:rPr>
      </w:pPr>
    </w:p>
    <w:p w14:paraId="39E03335" w14:textId="77777777" w:rsidR="009F2835" w:rsidRDefault="0032229B">
      <w:pPr>
        <w:pStyle w:val="a4"/>
        <w:numPr>
          <w:ilvl w:val="1"/>
          <w:numId w:val="1"/>
        </w:numPr>
        <w:tabs>
          <w:tab w:val="left" w:pos="480"/>
        </w:tabs>
        <w:ind w:left="479" w:hanging="359"/>
        <w:rPr>
          <w:sz w:val="20"/>
          <w:u w:val="none"/>
        </w:rPr>
      </w:pPr>
      <w:r>
        <w:rPr>
          <w:sz w:val="20"/>
        </w:rPr>
        <w:t>Location for pick</w:t>
      </w:r>
      <w:r w:rsidR="0010033B">
        <w:rPr>
          <w:sz w:val="20"/>
        </w:rPr>
        <w:t>-</w:t>
      </w:r>
      <w:r>
        <w:rPr>
          <w:sz w:val="20"/>
        </w:rPr>
        <w:t>up and</w:t>
      </w:r>
      <w:r>
        <w:rPr>
          <w:spacing w:val="-10"/>
          <w:sz w:val="20"/>
        </w:rPr>
        <w:t xml:space="preserve"> </w:t>
      </w:r>
      <w:r>
        <w:rPr>
          <w:sz w:val="20"/>
        </w:rPr>
        <w:t>delivery</w:t>
      </w:r>
      <w:r>
        <w:rPr>
          <w:sz w:val="20"/>
          <w:u w:val="none"/>
        </w:rPr>
        <w:t>:</w:t>
      </w:r>
    </w:p>
    <w:p w14:paraId="69194BA6" w14:textId="77777777" w:rsidR="009F2835" w:rsidRDefault="009F2835">
      <w:pPr>
        <w:pStyle w:val="a3"/>
        <w:rPr>
          <w:sz w:val="12"/>
          <w:u w:val="none"/>
        </w:rPr>
      </w:pPr>
    </w:p>
    <w:p w14:paraId="0A77FF84" w14:textId="77777777" w:rsidR="009F2835" w:rsidRDefault="0032229B">
      <w:pPr>
        <w:pStyle w:val="a3"/>
        <w:tabs>
          <w:tab w:val="left" w:pos="4601"/>
        </w:tabs>
        <w:spacing w:before="92"/>
        <w:ind w:left="271"/>
        <w:rPr>
          <w:u w:val="none"/>
        </w:rPr>
      </w:pPr>
      <w:r>
        <w:t>Requiring</w:t>
      </w:r>
      <w:r>
        <w:rPr>
          <w:spacing w:val="-5"/>
        </w:rPr>
        <w:t xml:space="preserve"> </w:t>
      </w:r>
      <w:r>
        <w:t>Activities</w:t>
      </w:r>
      <w:r>
        <w:rPr>
          <w:u w:val="none"/>
        </w:rPr>
        <w:tab/>
      </w:r>
      <w:r>
        <w:t>Location</w:t>
      </w:r>
    </w:p>
    <w:p w14:paraId="3892271F" w14:textId="77777777" w:rsidR="009F2835" w:rsidRDefault="009F2835">
      <w:pPr>
        <w:pStyle w:val="a3"/>
        <w:spacing w:before="1"/>
        <w:rPr>
          <w:sz w:val="12"/>
          <w:u w:val="none"/>
        </w:rPr>
      </w:pPr>
    </w:p>
    <w:p w14:paraId="59F3A4A1" w14:textId="77777777" w:rsidR="009F2835" w:rsidRDefault="0032229B">
      <w:pPr>
        <w:pStyle w:val="1"/>
        <w:tabs>
          <w:tab w:val="left" w:pos="4556"/>
        </w:tabs>
        <w:spacing w:before="92"/>
        <w:ind w:left="220"/>
      </w:pPr>
      <w:r>
        <w:t>(Regional TPD), COMFLEACT</w:t>
      </w:r>
      <w:r>
        <w:rPr>
          <w:spacing w:val="-6"/>
        </w:rPr>
        <w:t xml:space="preserve"> </w:t>
      </w:r>
      <w:r>
        <w:t>Sasebo</w:t>
      </w:r>
      <w:r>
        <w:rPr>
          <w:spacing w:val="-1"/>
        </w:rPr>
        <w:t xml:space="preserve"> </w:t>
      </w:r>
      <w:r>
        <w:t>(CFAS)</w:t>
      </w:r>
      <w:r>
        <w:tab/>
        <w:t xml:space="preserve">Bldg. #PW63, </w:t>
      </w:r>
      <w:proofErr w:type="spellStart"/>
      <w:r>
        <w:t>Beikaigun</w:t>
      </w:r>
      <w:proofErr w:type="spellEnd"/>
      <w:r>
        <w:t xml:space="preserve"> </w:t>
      </w:r>
      <w:proofErr w:type="spellStart"/>
      <w:r>
        <w:t>Sasebokichi</w:t>
      </w:r>
      <w:proofErr w:type="spellEnd"/>
    </w:p>
    <w:p w14:paraId="72FFA28E" w14:textId="77777777" w:rsidR="0032229B" w:rsidRDefault="0032229B">
      <w:pPr>
        <w:pStyle w:val="1"/>
        <w:tabs>
          <w:tab w:val="left" w:pos="4556"/>
        </w:tabs>
        <w:spacing w:before="92"/>
        <w:ind w:left="220"/>
      </w:pPr>
      <w:r>
        <w:t xml:space="preserve">                                                                                       </w:t>
      </w:r>
      <w:proofErr w:type="spellStart"/>
      <w:r>
        <w:t>Hirase</w:t>
      </w:r>
      <w:proofErr w:type="spellEnd"/>
      <w:r>
        <w:t>-machi, Sasebo-shi,</w:t>
      </w:r>
    </w:p>
    <w:p w14:paraId="540C1B45" w14:textId="77777777" w:rsidR="009F2835" w:rsidRDefault="0032229B">
      <w:pPr>
        <w:ind w:left="4570"/>
        <w:rPr>
          <w:b/>
          <w:sz w:val="20"/>
        </w:rPr>
      </w:pPr>
      <w:r>
        <w:rPr>
          <w:b/>
          <w:sz w:val="20"/>
        </w:rPr>
        <w:t>Nagasaki-ken, Japan</w:t>
      </w:r>
    </w:p>
    <w:p w14:paraId="6F7EFF4E" w14:textId="77777777" w:rsidR="009F2835" w:rsidRDefault="009F2835">
      <w:pPr>
        <w:pStyle w:val="a3"/>
        <w:spacing w:before="8"/>
        <w:rPr>
          <w:b/>
          <w:sz w:val="19"/>
          <w:u w:val="none"/>
        </w:rPr>
      </w:pPr>
    </w:p>
    <w:p w14:paraId="761539FC" w14:textId="77777777" w:rsidR="009F2835" w:rsidRPr="0010033B" w:rsidRDefault="00D252CE">
      <w:pPr>
        <w:pStyle w:val="a4"/>
        <w:numPr>
          <w:ilvl w:val="1"/>
          <w:numId w:val="1"/>
        </w:numPr>
        <w:tabs>
          <w:tab w:val="left" w:pos="421"/>
        </w:tabs>
        <w:ind w:right="684" w:firstLine="0"/>
        <w:rPr>
          <w:sz w:val="20"/>
          <w:u w:val="none"/>
        </w:rPr>
      </w:pPr>
      <w:r w:rsidRPr="0010033B">
        <w:rPr>
          <w:sz w:val="20"/>
        </w:rPr>
        <w:t xml:space="preserve"> Pick</w:t>
      </w:r>
      <w:r w:rsidR="0010033B" w:rsidRPr="0010033B">
        <w:rPr>
          <w:sz w:val="20"/>
        </w:rPr>
        <w:t>-</w:t>
      </w:r>
      <w:r w:rsidR="0032229B" w:rsidRPr="0010033B">
        <w:rPr>
          <w:sz w:val="20"/>
        </w:rPr>
        <w:t>up</w:t>
      </w:r>
      <w:r w:rsidRPr="0010033B">
        <w:rPr>
          <w:sz w:val="20"/>
        </w:rPr>
        <w:t>/return day cycle</w:t>
      </w:r>
      <w:r w:rsidR="0032229B" w:rsidRPr="0010033B">
        <w:rPr>
          <w:sz w:val="20"/>
          <w:u w:val="none"/>
        </w:rPr>
        <w:t xml:space="preserve">: During the period of 09:00 through 15:00 on Monday through Friday, the Contractor shall pick up all the articles to be laundered and return </w:t>
      </w:r>
      <w:r w:rsidRPr="0010033B">
        <w:rPr>
          <w:sz w:val="20"/>
          <w:u w:val="none"/>
        </w:rPr>
        <w:t xml:space="preserve">the finished products </w:t>
      </w:r>
      <w:r w:rsidR="0032229B" w:rsidRPr="0010033B">
        <w:rPr>
          <w:sz w:val="20"/>
          <w:u w:val="none"/>
        </w:rPr>
        <w:t xml:space="preserve">to the locations listed in the above </w:t>
      </w:r>
      <w:r w:rsidRPr="0010033B">
        <w:rPr>
          <w:sz w:val="20"/>
          <w:u w:val="none"/>
        </w:rPr>
        <w:t>on the following pick</w:t>
      </w:r>
      <w:r w:rsidR="0010033B" w:rsidRPr="0010033B">
        <w:rPr>
          <w:sz w:val="20"/>
          <w:u w:val="none"/>
        </w:rPr>
        <w:t>-</w:t>
      </w:r>
      <w:r w:rsidRPr="0010033B">
        <w:rPr>
          <w:sz w:val="20"/>
          <w:u w:val="none"/>
        </w:rPr>
        <w:t>up day.</w:t>
      </w:r>
    </w:p>
    <w:p w14:paraId="275E730E" w14:textId="77777777" w:rsidR="009F2835" w:rsidRDefault="009F2835">
      <w:pPr>
        <w:pStyle w:val="a3"/>
        <w:spacing w:before="2"/>
        <w:rPr>
          <w:u w:val="none"/>
        </w:rPr>
      </w:pPr>
    </w:p>
    <w:p w14:paraId="6D70B953" w14:textId="77777777" w:rsidR="009F2835" w:rsidRPr="00D252CE" w:rsidRDefault="00D252CE">
      <w:pPr>
        <w:pStyle w:val="1"/>
        <w:rPr>
          <w:u w:val="single"/>
        </w:rPr>
      </w:pPr>
      <w:r w:rsidRPr="0010033B">
        <w:rPr>
          <w:u w:val="single"/>
        </w:rPr>
        <w:t>Pick</w:t>
      </w:r>
      <w:r w:rsidR="0010033B" w:rsidRPr="0010033B">
        <w:rPr>
          <w:u w:val="single"/>
        </w:rPr>
        <w:t>-</w:t>
      </w:r>
      <w:r w:rsidRPr="0010033B">
        <w:rPr>
          <w:u w:val="single"/>
        </w:rPr>
        <w:t>up/Return Days for CFAS RTPD: Every Monday, Wednesday, and Friday</w:t>
      </w:r>
    </w:p>
    <w:p w14:paraId="18828BCF" w14:textId="77777777" w:rsidR="009F2835" w:rsidRDefault="009F2835">
      <w:pPr>
        <w:pStyle w:val="a3"/>
        <w:spacing w:before="8"/>
        <w:rPr>
          <w:b/>
          <w:sz w:val="11"/>
          <w:u w:val="none"/>
        </w:rPr>
      </w:pPr>
    </w:p>
    <w:p w14:paraId="633A31FB" w14:textId="77777777" w:rsidR="009F2835" w:rsidRDefault="0032229B">
      <w:pPr>
        <w:pStyle w:val="a4"/>
        <w:numPr>
          <w:ilvl w:val="1"/>
          <w:numId w:val="1"/>
        </w:numPr>
        <w:tabs>
          <w:tab w:val="left" w:pos="422"/>
        </w:tabs>
        <w:spacing w:before="92"/>
        <w:ind w:right="1706" w:firstLine="0"/>
        <w:rPr>
          <w:b/>
          <w:sz w:val="20"/>
          <w:u w:val="none"/>
        </w:rPr>
      </w:pPr>
      <w:r>
        <w:rPr>
          <w:sz w:val="20"/>
        </w:rPr>
        <w:t>Requirement to Facilities/Equipment and License</w:t>
      </w:r>
      <w:r>
        <w:rPr>
          <w:sz w:val="20"/>
          <w:u w:val="none"/>
        </w:rPr>
        <w:t xml:space="preserve">: The laundry facilities/equipment used under this contract shall have updated the Government of Japan, </w:t>
      </w:r>
      <w:r>
        <w:rPr>
          <w:b/>
          <w:sz w:val="20"/>
          <w:u w:val="none"/>
        </w:rPr>
        <w:t>Certificate of</w:t>
      </w:r>
      <w:r>
        <w:rPr>
          <w:b/>
          <w:spacing w:val="-34"/>
          <w:sz w:val="20"/>
          <w:u w:val="none"/>
        </w:rPr>
        <w:t xml:space="preserve"> </w:t>
      </w:r>
      <w:r>
        <w:rPr>
          <w:b/>
          <w:sz w:val="20"/>
          <w:u w:val="none"/>
        </w:rPr>
        <w:t>“HOKENJO”</w:t>
      </w:r>
    </w:p>
    <w:p w14:paraId="4A9C4359" w14:textId="77777777" w:rsidR="009F2835" w:rsidRDefault="0032229B">
      <w:pPr>
        <w:pStyle w:val="1"/>
        <w:spacing w:before="1"/>
        <w:ind w:left="170" w:right="899" w:hanging="51"/>
        <w:rPr>
          <w:b w:val="0"/>
        </w:rPr>
      </w:pPr>
      <w:r>
        <w:t>(Hygiene/Health Office) and “Contractor shall be capable of handling laundries at risk of disease” must be stated in the certificate</w:t>
      </w:r>
      <w:r>
        <w:rPr>
          <w:b w:val="0"/>
        </w:rPr>
        <w:t>.</w:t>
      </w:r>
    </w:p>
    <w:p w14:paraId="67D08D03" w14:textId="77777777" w:rsidR="009F2835" w:rsidRDefault="009F2835">
      <w:pPr>
        <w:pStyle w:val="a3"/>
        <w:spacing w:before="10"/>
        <w:rPr>
          <w:sz w:val="19"/>
          <w:u w:val="none"/>
        </w:rPr>
      </w:pPr>
    </w:p>
    <w:p w14:paraId="46BEAA92" w14:textId="77777777" w:rsidR="009F2835" w:rsidRDefault="0032229B">
      <w:pPr>
        <w:pStyle w:val="a4"/>
        <w:numPr>
          <w:ilvl w:val="1"/>
          <w:numId w:val="1"/>
        </w:numPr>
        <w:tabs>
          <w:tab w:val="left" w:pos="470"/>
        </w:tabs>
        <w:ind w:left="170" w:right="673" w:hanging="50"/>
        <w:rPr>
          <w:sz w:val="20"/>
          <w:u w:val="none"/>
        </w:rPr>
      </w:pPr>
      <w:r>
        <w:rPr>
          <w:sz w:val="20"/>
        </w:rPr>
        <w:t>Unserviceable Articles</w:t>
      </w:r>
      <w:r>
        <w:rPr>
          <w:sz w:val="20"/>
          <w:u w:val="none"/>
        </w:rPr>
        <w:t>: When received from the Government Customer Activities, the Contractor shall return torn and unserviceable articles to the</w:t>
      </w:r>
      <w:r>
        <w:rPr>
          <w:spacing w:val="-13"/>
          <w:sz w:val="20"/>
          <w:u w:val="none"/>
        </w:rPr>
        <w:t xml:space="preserve"> </w:t>
      </w:r>
      <w:r>
        <w:rPr>
          <w:sz w:val="20"/>
          <w:u w:val="none"/>
        </w:rPr>
        <w:t>Government.</w:t>
      </w:r>
    </w:p>
    <w:p w14:paraId="1BA26DE5" w14:textId="77777777" w:rsidR="009F2835" w:rsidRDefault="009F2835">
      <w:pPr>
        <w:pStyle w:val="a3"/>
        <w:spacing w:before="10"/>
        <w:rPr>
          <w:sz w:val="19"/>
          <w:u w:val="none"/>
        </w:rPr>
      </w:pPr>
    </w:p>
    <w:p w14:paraId="415EAF47" w14:textId="77777777" w:rsidR="009F2835" w:rsidRDefault="0032229B">
      <w:pPr>
        <w:pStyle w:val="a4"/>
        <w:numPr>
          <w:ilvl w:val="1"/>
          <w:numId w:val="1"/>
        </w:numPr>
        <w:tabs>
          <w:tab w:val="left" w:pos="470"/>
        </w:tabs>
        <w:ind w:right="498" w:firstLine="0"/>
        <w:rPr>
          <w:sz w:val="20"/>
          <w:u w:val="none"/>
        </w:rPr>
      </w:pPr>
      <w:r>
        <w:rPr>
          <w:sz w:val="20"/>
        </w:rPr>
        <w:t>Storage and Handling</w:t>
      </w:r>
      <w:r>
        <w:rPr>
          <w:sz w:val="20"/>
          <w:u w:val="none"/>
        </w:rPr>
        <w:t>: While the Government-owned articles are in the possession of the Contractor, it shall be adequately stored and protected in a manner to prevent any loss or damage. When contaminated hospital linen is furnished for service under this contract, it shall be handled separately from other articles. The contract clause, “DFARS 252.237-7014 Loss or Damage (Count-of-Articles) (Dec 1991)”provided in the solicitation and contract will be applicable when any loss or damage of the Government-owned property is caused by the</w:t>
      </w:r>
      <w:r>
        <w:rPr>
          <w:spacing w:val="-8"/>
          <w:sz w:val="20"/>
          <w:u w:val="none"/>
        </w:rPr>
        <w:t xml:space="preserve"> </w:t>
      </w:r>
      <w:r>
        <w:rPr>
          <w:sz w:val="20"/>
          <w:u w:val="none"/>
        </w:rPr>
        <w:t>Contractor.</w:t>
      </w:r>
    </w:p>
    <w:p w14:paraId="6876FC66" w14:textId="77777777" w:rsidR="009F2835" w:rsidRDefault="009F2835">
      <w:pPr>
        <w:pStyle w:val="a3"/>
        <w:rPr>
          <w:u w:val="none"/>
        </w:rPr>
      </w:pPr>
    </w:p>
    <w:p w14:paraId="37BDCB71" w14:textId="77777777" w:rsidR="009F2835" w:rsidRDefault="0032229B">
      <w:pPr>
        <w:pStyle w:val="a3"/>
        <w:ind w:left="120" w:right="342"/>
        <w:rPr>
          <w:u w:val="none"/>
        </w:rPr>
      </w:pPr>
      <w:r>
        <w:rPr>
          <w:u w:val="none"/>
        </w:rPr>
        <w:t xml:space="preserve">2.0 </w:t>
      </w:r>
      <w:r>
        <w:t>Packing and Marking</w:t>
      </w:r>
      <w:r>
        <w:rPr>
          <w:u w:val="none"/>
        </w:rPr>
        <w:t>: Packing and marking shall be in accordance with the commercial standard practice prevailing in the trade and requirement by the Government of Japan Hygiene/Health Office “</w:t>
      </w:r>
      <w:proofErr w:type="spellStart"/>
      <w:r>
        <w:rPr>
          <w:u w:val="none"/>
        </w:rPr>
        <w:t>Hokenjo</w:t>
      </w:r>
      <w:proofErr w:type="spellEnd"/>
      <w:r>
        <w:rPr>
          <w:u w:val="none"/>
        </w:rPr>
        <w:t>” for disinfecting treatment service and GOJ Fire Station, General “</w:t>
      </w:r>
      <w:proofErr w:type="spellStart"/>
      <w:r>
        <w:rPr>
          <w:u w:val="none"/>
        </w:rPr>
        <w:t>Shohbou</w:t>
      </w:r>
      <w:proofErr w:type="spellEnd"/>
      <w:r>
        <w:rPr>
          <w:u w:val="none"/>
        </w:rPr>
        <w:t xml:space="preserve"> Cho” for fire retardant treatment service.</w:t>
      </w:r>
    </w:p>
    <w:p w14:paraId="07328798" w14:textId="77777777" w:rsidR="00A10AEF" w:rsidRDefault="00A10AEF">
      <w:pPr>
        <w:pStyle w:val="a3"/>
        <w:ind w:left="120" w:right="342"/>
        <w:rPr>
          <w:u w:val="none"/>
        </w:rPr>
      </w:pPr>
    </w:p>
    <w:p w14:paraId="38888805" w14:textId="77777777" w:rsidR="0010033B" w:rsidRDefault="0010033B">
      <w:pPr>
        <w:pStyle w:val="a3"/>
        <w:ind w:left="120" w:right="342"/>
      </w:pPr>
      <w:r>
        <w:rPr>
          <w:u w:val="none"/>
        </w:rPr>
        <w:t xml:space="preserve">3.0 </w:t>
      </w:r>
      <w:r w:rsidRPr="0010033B">
        <w:t>Government Point of Contact</w:t>
      </w:r>
    </w:p>
    <w:p w14:paraId="68D6EB53" w14:textId="77777777" w:rsidR="0010033B" w:rsidRDefault="0010033B">
      <w:pPr>
        <w:pStyle w:val="a3"/>
        <w:ind w:left="120" w:right="342"/>
        <w:rPr>
          <w:u w:val="none"/>
        </w:rPr>
      </w:pPr>
    </w:p>
    <w:p w14:paraId="180EC23F" w14:textId="77777777" w:rsidR="001F6CDF" w:rsidRDefault="0010033B" w:rsidP="001F6CDF">
      <w:pPr>
        <w:pStyle w:val="a3"/>
        <w:ind w:left="120" w:right="342"/>
        <w:rPr>
          <w:u w:val="none"/>
        </w:rPr>
      </w:pPr>
      <w:r>
        <w:rPr>
          <w:u w:val="none"/>
        </w:rPr>
        <w:t>Technical POC:</w:t>
      </w:r>
      <w:r>
        <w:rPr>
          <w:u w:val="none"/>
        </w:rPr>
        <w:tab/>
      </w:r>
    </w:p>
    <w:p w14:paraId="093E9E5E" w14:textId="77777777" w:rsidR="0010033B" w:rsidRDefault="0010033B">
      <w:pPr>
        <w:pStyle w:val="a3"/>
        <w:ind w:left="120" w:right="342"/>
        <w:rPr>
          <w:u w:val="none"/>
        </w:rPr>
      </w:pPr>
    </w:p>
    <w:p w14:paraId="424E2775" w14:textId="77777777" w:rsidR="0010033B" w:rsidRDefault="0010033B">
      <w:pPr>
        <w:pStyle w:val="a3"/>
        <w:ind w:left="120" w:right="342"/>
        <w:rPr>
          <w:u w:val="none"/>
        </w:rPr>
      </w:pPr>
    </w:p>
    <w:p w14:paraId="4B4C8CE5" w14:textId="77777777" w:rsidR="0010033B" w:rsidRDefault="0010033B">
      <w:pPr>
        <w:pStyle w:val="a3"/>
        <w:ind w:left="120" w:right="342"/>
        <w:rPr>
          <w:u w:val="none"/>
        </w:rPr>
      </w:pPr>
      <w:r>
        <w:rPr>
          <w:u w:val="none"/>
        </w:rPr>
        <w:t xml:space="preserve">Contracting POC: </w:t>
      </w:r>
      <w:proofErr w:type="spellStart"/>
      <w:r>
        <w:rPr>
          <w:u w:val="none"/>
        </w:rPr>
        <w:t>Ms.Junko</w:t>
      </w:r>
      <w:proofErr w:type="spellEnd"/>
      <w:r>
        <w:rPr>
          <w:u w:val="none"/>
        </w:rPr>
        <w:t xml:space="preserve"> Nakashima at </w:t>
      </w:r>
      <w:hyperlink r:id="rId5" w:history="1">
        <w:r w:rsidRPr="00B00B65">
          <w:rPr>
            <w:rStyle w:val="a5"/>
          </w:rPr>
          <w:t>Junko.Nakashima.JA@fe.navy.mil</w:t>
        </w:r>
      </w:hyperlink>
    </w:p>
    <w:p w14:paraId="52C5FB6A" w14:textId="77777777" w:rsidR="0010033B" w:rsidRDefault="0010033B">
      <w:pPr>
        <w:pStyle w:val="a3"/>
        <w:ind w:left="120" w:right="342"/>
        <w:rPr>
          <w:u w:val="none"/>
        </w:rPr>
      </w:pPr>
      <w:r>
        <w:rPr>
          <w:u w:val="none"/>
        </w:rPr>
        <w:tab/>
      </w:r>
      <w:r>
        <w:rPr>
          <w:u w:val="none"/>
        </w:rPr>
        <w:tab/>
        <w:t xml:space="preserve">   TEL 0956-50-2850</w:t>
      </w:r>
    </w:p>
    <w:p w14:paraId="104B03A0" w14:textId="77777777" w:rsidR="0010033B" w:rsidRDefault="0010033B" w:rsidP="0010033B">
      <w:pPr>
        <w:pStyle w:val="a3"/>
        <w:ind w:right="342"/>
        <w:rPr>
          <w:u w:val="none"/>
        </w:rPr>
      </w:pPr>
    </w:p>
    <w:p w14:paraId="28D6DD1B" w14:textId="77777777" w:rsidR="00A10AEF" w:rsidRDefault="00A10AEF">
      <w:pPr>
        <w:pStyle w:val="a3"/>
        <w:ind w:left="120" w:right="342"/>
        <w:rPr>
          <w:u w:val="none"/>
        </w:rPr>
      </w:pPr>
    </w:p>
    <w:p w14:paraId="55ED0F54" w14:textId="77777777" w:rsidR="001F6CDF" w:rsidRDefault="001F6CDF">
      <w:pPr>
        <w:pStyle w:val="a3"/>
        <w:ind w:left="120" w:right="342"/>
        <w:rPr>
          <w:u w:val="none"/>
        </w:rPr>
      </w:pPr>
    </w:p>
    <w:p w14:paraId="0271DE0A" w14:textId="77777777" w:rsidR="001F6CDF" w:rsidRDefault="001F6CDF">
      <w:pPr>
        <w:pStyle w:val="a3"/>
        <w:ind w:left="120" w:right="342"/>
        <w:rPr>
          <w:u w:val="none"/>
        </w:rPr>
      </w:pPr>
    </w:p>
    <w:p w14:paraId="655FD4E9" w14:textId="77777777" w:rsidR="001F6CDF" w:rsidRDefault="001F6CDF">
      <w:pPr>
        <w:pStyle w:val="a3"/>
        <w:ind w:left="120" w:right="342"/>
        <w:rPr>
          <w:u w:val="none"/>
        </w:rPr>
      </w:pPr>
    </w:p>
    <w:tbl>
      <w:tblPr>
        <w:tblW w:w="8200" w:type="dxa"/>
        <w:tblInd w:w="113" w:type="dxa"/>
        <w:tblLook w:val="04A0" w:firstRow="1" w:lastRow="0" w:firstColumn="1" w:lastColumn="0" w:noHBand="0" w:noVBand="1"/>
      </w:tblPr>
      <w:tblGrid>
        <w:gridCol w:w="960"/>
        <w:gridCol w:w="3400"/>
        <w:gridCol w:w="1280"/>
        <w:gridCol w:w="1280"/>
        <w:gridCol w:w="1280"/>
      </w:tblGrid>
      <w:tr w:rsidR="001F6CDF" w:rsidRPr="001F6CDF" w14:paraId="147A399D" w14:textId="77777777" w:rsidTr="001F6CDF">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2877E017"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lastRenderedPageBreak/>
              <w:t>CLIN#</w:t>
            </w:r>
          </w:p>
        </w:tc>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9CFD"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Description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F7F4617"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QTY.</w:t>
            </w:r>
          </w:p>
        </w:tc>
        <w:tc>
          <w:tcPr>
            <w:tcW w:w="1280" w:type="dxa"/>
            <w:tcBorders>
              <w:top w:val="single" w:sz="4" w:space="0" w:color="auto"/>
              <w:left w:val="nil"/>
              <w:bottom w:val="single" w:sz="4" w:space="0" w:color="auto"/>
              <w:right w:val="nil"/>
            </w:tcBorders>
            <w:shd w:val="clear" w:color="auto" w:fill="auto"/>
            <w:noWrap/>
            <w:vAlign w:val="center"/>
            <w:hideMark/>
          </w:tcPr>
          <w:p w14:paraId="10B0B255"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Unit Price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0F6A"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Total</w:t>
            </w:r>
          </w:p>
        </w:tc>
      </w:tr>
      <w:tr w:rsidR="001F6CDF" w:rsidRPr="001F6CDF" w14:paraId="5591CD2C" w14:textId="77777777" w:rsidTr="001F6CDF">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3001094A"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0001</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2CE19C6" w14:textId="77777777" w:rsidR="001F6CDF" w:rsidRPr="001F6CDF" w:rsidRDefault="001F6CDF" w:rsidP="001F6CDF">
            <w:pPr>
              <w:widowControl/>
              <w:autoSpaceDE/>
              <w:autoSpaceDN/>
              <w:rPr>
                <w:color w:val="000000"/>
                <w:sz w:val="20"/>
                <w:szCs w:val="20"/>
                <w:lang w:eastAsia="ja-JP"/>
              </w:rPr>
            </w:pPr>
            <w:r w:rsidRPr="001F6CDF">
              <w:rPr>
                <w:color w:val="000000"/>
                <w:sz w:val="20"/>
                <w:szCs w:val="20"/>
                <w:lang w:eastAsia="ja-JP"/>
              </w:rPr>
              <w:t>Bed Sheet</w:t>
            </w:r>
          </w:p>
        </w:tc>
        <w:tc>
          <w:tcPr>
            <w:tcW w:w="1280" w:type="dxa"/>
            <w:tcBorders>
              <w:top w:val="nil"/>
              <w:left w:val="nil"/>
              <w:bottom w:val="single" w:sz="4" w:space="0" w:color="auto"/>
              <w:right w:val="single" w:sz="4" w:space="0" w:color="auto"/>
            </w:tcBorders>
            <w:shd w:val="clear" w:color="auto" w:fill="auto"/>
            <w:noWrap/>
            <w:vAlign w:val="bottom"/>
            <w:hideMark/>
          </w:tcPr>
          <w:p w14:paraId="27BF9C1F"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2,000</w:t>
            </w:r>
          </w:p>
        </w:tc>
        <w:tc>
          <w:tcPr>
            <w:tcW w:w="1280" w:type="dxa"/>
            <w:tcBorders>
              <w:top w:val="nil"/>
              <w:left w:val="nil"/>
              <w:bottom w:val="single" w:sz="4" w:space="0" w:color="auto"/>
              <w:right w:val="nil"/>
            </w:tcBorders>
            <w:shd w:val="clear" w:color="auto" w:fill="auto"/>
            <w:noWrap/>
            <w:vAlign w:val="bottom"/>
            <w:hideMark/>
          </w:tcPr>
          <w:p w14:paraId="7CD506E8"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76F496"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r>
      <w:tr w:rsidR="001F6CDF" w:rsidRPr="001F6CDF" w14:paraId="7251FFBA" w14:textId="77777777" w:rsidTr="001F6CDF">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5578F10B"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0002</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BC40798" w14:textId="77777777" w:rsidR="001F6CDF" w:rsidRPr="001F6CDF" w:rsidRDefault="001F6CDF" w:rsidP="001F6CDF">
            <w:pPr>
              <w:widowControl/>
              <w:autoSpaceDE/>
              <w:autoSpaceDN/>
              <w:rPr>
                <w:color w:val="000000"/>
                <w:sz w:val="20"/>
                <w:szCs w:val="20"/>
                <w:lang w:eastAsia="ja-JP"/>
              </w:rPr>
            </w:pPr>
            <w:r w:rsidRPr="001F6CDF">
              <w:rPr>
                <w:color w:val="000000"/>
                <w:sz w:val="20"/>
                <w:szCs w:val="20"/>
                <w:lang w:eastAsia="ja-JP"/>
              </w:rPr>
              <w:t>Blanket</w:t>
            </w:r>
          </w:p>
        </w:tc>
        <w:tc>
          <w:tcPr>
            <w:tcW w:w="1280" w:type="dxa"/>
            <w:tcBorders>
              <w:top w:val="nil"/>
              <w:left w:val="nil"/>
              <w:bottom w:val="single" w:sz="4" w:space="0" w:color="auto"/>
              <w:right w:val="single" w:sz="4" w:space="0" w:color="auto"/>
            </w:tcBorders>
            <w:shd w:val="clear" w:color="auto" w:fill="auto"/>
            <w:noWrap/>
            <w:vAlign w:val="bottom"/>
            <w:hideMark/>
          </w:tcPr>
          <w:p w14:paraId="4A640877"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860</w:t>
            </w:r>
          </w:p>
        </w:tc>
        <w:tc>
          <w:tcPr>
            <w:tcW w:w="1280" w:type="dxa"/>
            <w:tcBorders>
              <w:top w:val="nil"/>
              <w:left w:val="nil"/>
              <w:bottom w:val="single" w:sz="4" w:space="0" w:color="auto"/>
              <w:right w:val="nil"/>
            </w:tcBorders>
            <w:shd w:val="clear" w:color="auto" w:fill="auto"/>
            <w:noWrap/>
            <w:vAlign w:val="bottom"/>
            <w:hideMark/>
          </w:tcPr>
          <w:p w14:paraId="7AA5AA8C"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8CBD96"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r>
      <w:tr w:rsidR="001F6CDF" w:rsidRPr="001F6CDF" w14:paraId="3CAC893A" w14:textId="77777777" w:rsidTr="001F6CDF">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4ECC7369" w14:textId="77777777" w:rsidR="001F6CDF" w:rsidRPr="001F6CDF" w:rsidRDefault="001F6CDF" w:rsidP="001F6CDF">
            <w:pPr>
              <w:widowControl/>
              <w:autoSpaceDE/>
              <w:autoSpaceDN/>
              <w:jc w:val="center"/>
              <w:rPr>
                <w:color w:val="000000"/>
                <w:sz w:val="20"/>
                <w:szCs w:val="20"/>
                <w:lang w:eastAsia="ja-JP"/>
              </w:rPr>
            </w:pPr>
            <w:r w:rsidRPr="001F6CDF">
              <w:rPr>
                <w:color w:val="000000"/>
                <w:sz w:val="20"/>
                <w:szCs w:val="20"/>
                <w:lang w:eastAsia="ja-JP"/>
              </w:rPr>
              <w:t>0003</w:t>
            </w:r>
          </w:p>
        </w:tc>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4747244" w14:textId="77777777" w:rsidR="001F6CDF" w:rsidRPr="001F6CDF" w:rsidRDefault="001F6CDF" w:rsidP="001F6CDF">
            <w:pPr>
              <w:widowControl/>
              <w:autoSpaceDE/>
              <w:autoSpaceDN/>
              <w:rPr>
                <w:color w:val="000000"/>
                <w:sz w:val="20"/>
                <w:szCs w:val="20"/>
                <w:lang w:eastAsia="ja-JP"/>
              </w:rPr>
            </w:pPr>
            <w:r w:rsidRPr="001F6CDF">
              <w:rPr>
                <w:color w:val="000000"/>
                <w:sz w:val="20"/>
                <w:szCs w:val="20"/>
                <w:lang w:eastAsia="ja-JP"/>
              </w:rPr>
              <w:t>Pillow Case</w:t>
            </w:r>
          </w:p>
        </w:tc>
        <w:tc>
          <w:tcPr>
            <w:tcW w:w="1280" w:type="dxa"/>
            <w:tcBorders>
              <w:top w:val="nil"/>
              <w:left w:val="nil"/>
              <w:bottom w:val="single" w:sz="4" w:space="0" w:color="auto"/>
              <w:right w:val="single" w:sz="4" w:space="0" w:color="auto"/>
            </w:tcBorders>
            <w:shd w:val="clear" w:color="auto" w:fill="auto"/>
            <w:noWrap/>
            <w:vAlign w:val="bottom"/>
            <w:hideMark/>
          </w:tcPr>
          <w:p w14:paraId="52505C7D"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860</w:t>
            </w:r>
          </w:p>
        </w:tc>
        <w:tc>
          <w:tcPr>
            <w:tcW w:w="1280" w:type="dxa"/>
            <w:tcBorders>
              <w:top w:val="nil"/>
              <w:left w:val="nil"/>
              <w:bottom w:val="single" w:sz="4" w:space="0" w:color="auto"/>
              <w:right w:val="nil"/>
            </w:tcBorders>
            <w:shd w:val="clear" w:color="auto" w:fill="auto"/>
            <w:noWrap/>
            <w:vAlign w:val="bottom"/>
            <w:hideMark/>
          </w:tcPr>
          <w:p w14:paraId="6FF913AE"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74E61C"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r>
      <w:tr w:rsidR="001F6CDF" w:rsidRPr="001F6CDF" w14:paraId="61D032BD" w14:textId="77777777" w:rsidTr="001F6CDF">
        <w:trPr>
          <w:trHeight w:val="300"/>
        </w:trPr>
        <w:tc>
          <w:tcPr>
            <w:tcW w:w="960" w:type="dxa"/>
            <w:tcBorders>
              <w:top w:val="single" w:sz="4" w:space="0" w:color="auto"/>
              <w:left w:val="nil"/>
              <w:bottom w:val="nil"/>
              <w:right w:val="nil"/>
            </w:tcBorders>
            <w:shd w:val="clear" w:color="auto" w:fill="auto"/>
            <w:vAlign w:val="center"/>
            <w:hideMark/>
          </w:tcPr>
          <w:p w14:paraId="421953BB" w14:textId="77777777" w:rsidR="001F6CDF" w:rsidRPr="001F6CDF" w:rsidRDefault="001F6CDF" w:rsidP="001F6CDF">
            <w:pPr>
              <w:widowControl/>
              <w:autoSpaceDE/>
              <w:autoSpaceDN/>
              <w:rPr>
                <w:color w:val="000000"/>
                <w:sz w:val="20"/>
                <w:szCs w:val="20"/>
                <w:lang w:eastAsia="ja-JP"/>
              </w:rPr>
            </w:pPr>
            <w:r w:rsidRPr="001F6CDF">
              <w:rPr>
                <w:color w:val="000000"/>
                <w:sz w:val="20"/>
                <w:szCs w:val="20"/>
                <w:lang w:eastAsia="ja-JP"/>
              </w:rPr>
              <w:t> </w:t>
            </w:r>
          </w:p>
        </w:tc>
        <w:tc>
          <w:tcPr>
            <w:tcW w:w="3400" w:type="dxa"/>
            <w:tcBorders>
              <w:top w:val="single" w:sz="4" w:space="0" w:color="auto"/>
              <w:left w:val="nil"/>
              <w:bottom w:val="nil"/>
              <w:right w:val="single" w:sz="4" w:space="0" w:color="auto"/>
            </w:tcBorders>
            <w:shd w:val="clear" w:color="auto" w:fill="auto"/>
            <w:vAlign w:val="center"/>
            <w:hideMark/>
          </w:tcPr>
          <w:p w14:paraId="60AE08B8" w14:textId="77777777" w:rsidR="001F6CDF" w:rsidRPr="001F6CDF" w:rsidRDefault="001F6CDF" w:rsidP="001F6CDF">
            <w:pPr>
              <w:widowControl/>
              <w:autoSpaceDE/>
              <w:autoSpaceDN/>
              <w:rPr>
                <w:color w:val="000000"/>
                <w:sz w:val="20"/>
                <w:szCs w:val="20"/>
                <w:lang w:eastAsia="ja-JP"/>
              </w:rPr>
            </w:pPr>
            <w:r w:rsidRPr="001F6CDF">
              <w:rPr>
                <w:color w:val="000000"/>
                <w:sz w:val="20"/>
                <w:szCs w:val="20"/>
                <w:lang w:eastAsia="ja-JP"/>
              </w:rPr>
              <w:t> </w:t>
            </w:r>
          </w:p>
        </w:tc>
        <w:tc>
          <w:tcPr>
            <w:tcW w:w="2560" w:type="dxa"/>
            <w:gridSpan w:val="2"/>
            <w:tcBorders>
              <w:top w:val="single" w:sz="4" w:space="0" w:color="auto"/>
              <w:left w:val="nil"/>
              <w:bottom w:val="single" w:sz="4" w:space="0" w:color="auto"/>
              <w:right w:val="nil"/>
            </w:tcBorders>
            <w:shd w:val="clear" w:color="auto" w:fill="auto"/>
            <w:vAlign w:val="center"/>
            <w:hideMark/>
          </w:tcPr>
          <w:p w14:paraId="0F91683E" w14:textId="77777777" w:rsidR="001F6CDF" w:rsidRPr="001F6CDF" w:rsidRDefault="001F6CDF" w:rsidP="001F6CDF">
            <w:pPr>
              <w:widowControl/>
              <w:autoSpaceDE/>
              <w:autoSpaceDN/>
              <w:jc w:val="right"/>
              <w:rPr>
                <w:b/>
                <w:bCs/>
                <w:color w:val="0000FF"/>
                <w:sz w:val="20"/>
                <w:szCs w:val="20"/>
                <w:lang w:eastAsia="ja-JP"/>
              </w:rPr>
            </w:pPr>
            <w:r w:rsidRPr="001F6CDF">
              <w:rPr>
                <w:b/>
                <w:bCs/>
                <w:color w:val="0000FF"/>
                <w:sz w:val="20"/>
                <w:szCs w:val="20"/>
                <w:lang w:eastAsia="ja-JP"/>
              </w:rPr>
              <w:t>Total Yen Amount: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8CD7E" w14:textId="77777777" w:rsidR="001F6CDF" w:rsidRPr="001F6CDF" w:rsidRDefault="001F6CDF" w:rsidP="001F6CDF">
            <w:pPr>
              <w:widowControl/>
              <w:autoSpaceDE/>
              <w:autoSpaceDN/>
              <w:jc w:val="right"/>
              <w:rPr>
                <w:color w:val="000000"/>
                <w:sz w:val="20"/>
                <w:szCs w:val="20"/>
                <w:lang w:eastAsia="ja-JP"/>
              </w:rPr>
            </w:pPr>
            <w:r w:rsidRPr="001F6CDF">
              <w:rPr>
                <w:color w:val="000000"/>
                <w:sz w:val="20"/>
                <w:szCs w:val="20"/>
                <w:lang w:eastAsia="ja-JP"/>
              </w:rPr>
              <w:t> </w:t>
            </w:r>
          </w:p>
        </w:tc>
      </w:tr>
    </w:tbl>
    <w:p w14:paraId="0B375FF2" w14:textId="77777777" w:rsidR="00A10AEF" w:rsidRDefault="00A10AEF" w:rsidP="001F6CDF">
      <w:pPr>
        <w:pStyle w:val="a3"/>
        <w:ind w:right="342"/>
        <w:rPr>
          <w:u w:val="none"/>
        </w:rPr>
      </w:pPr>
    </w:p>
    <w:sectPr w:rsidR="00A10AEF">
      <w:type w:val="continuous"/>
      <w:pgSz w:w="12240" w:h="15840"/>
      <w:pgMar w:top="1360" w:right="1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038C4"/>
    <w:multiLevelType w:val="multilevel"/>
    <w:tmpl w:val="597AFBD2"/>
    <w:lvl w:ilvl="0">
      <w:start w:val="1"/>
      <w:numFmt w:val="decimal"/>
      <w:lvlText w:val="%1"/>
      <w:lvlJc w:val="left"/>
      <w:pPr>
        <w:ind w:left="420" w:hanging="301"/>
        <w:jc w:val="left"/>
      </w:pPr>
      <w:rPr>
        <w:rFonts w:hint="default"/>
      </w:rPr>
    </w:lvl>
    <w:lvl w:ilvl="1">
      <w:numFmt w:val="decimal"/>
      <w:lvlText w:val="%1.%2"/>
      <w:lvlJc w:val="left"/>
      <w:pPr>
        <w:ind w:left="120" w:hanging="301"/>
        <w:jc w:val="left"/>
      </w:pPr>
      <w:rPr>
        <w:rFonts w:ascii="Times New Roman" w:eastAsia="Times New Roman" w:hAnsi="Times New Roman" w:cs="Times New Roman" w:hint="default"/>
        <w:spacing w:val="-1"/>
        <w:w w:val="100"/>
        <w:sz w:val="20"/>
        <w:szCs w:val="20"/>
      </w:rPr>
    </w:lvl>
    <w:lvl w:ilvl="2">
      <w:numFmt w:val="bullet"/>
      <w:lvlText w:val="•"/>
      <w:lvlJc w:val="left"/>
      <w:pPr>
        <w:ind w:left="1417" w:hanging="301"/>
      </w:pPr>
      <w:rPr>
        <w:rFonts w:hint="default"/>
      </w:rPr>
    </w:lvl>
    <w:lvl w:ilvl="3">
      <w:numFmt w:val="bullet"/>
      <w:lvlText w:val="•"/>
      <w:lvlJc w:val="left"/>
      <w:pPr>
        <w:ind w:left="2415" w:hanging="301"/>
      </w:pPr>
      <w:rPr>
        <w:rFonts w:hint="default"/>
      </w:rPr>
    </w:lvl>
    <w:lvl w:ilvl="4">
      <w:numFmt w:val="bullet"/>
      <w:lvlText w:val="•"/>
      <w:lvlJc w:val="left"/>
      <w:pPr>
        <w:ind w:left="3413" w:hanging="301"/>
      </w:pPr>
      <w:rPr>
        <w:rFonts w:hint="default"/>
      </w:rPr>
    </w:lvl>
    <w:lvl w:ilvl="5">
      <w:numFmt w:val="bullet"/>
      <w:lvlText w:val="•"/>
      <w:lvlJc w:val="left"/>
      <w:pPr>
        <w:ind w:left="4411" w:hanging="301"/>
      </w:pPr>
      <w:rPr>
        <w:rFonts w:hint="default"/>
      </w:rPr>
    </w:lvl>
    <w:lvl w:ilvl="6">
      <w:numFmt w:val="bullet"/>
      <w:lvlText w:val="•"/>
      <w:lvlJc w:val="left"/>
      <w:pPr>
        <w:ind w:left="5408" w:hanging="301"/>
      </w:pPr>
      <w:rPr>
        <w:rFonts w:hint="default"/>
      </w:rPr>
    </w:lvl>
    <w:lvl w:ilvl="7">
      <w:numFmt w:val="bullet"/>
      <w:lvlText w:val="•"/>
      <w:lvlJc w:val="left"/>
      <w:pPr>
        <w:ind w:left="6406" w:hanging="301"/>
      </w:pPr>
      <w:rPr>
        <w:rFonts w:hint="default"/>
      </w:rPr>
    </w:lvl>
    <w:lvl w:ilvl="8">
      <w:numFmt w:val="bullet"/>
      <w:lvlText w:val="•"/>
      <w:lvlJc w:val="left"/>
      <w:pPr>
        <w:ind w:left="7404"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35"/>
    <w:rsid w:val="000A7DB4"/>
    <w:rsid w:val="0010033B"/>
    <w:rsid w:val="001F6CDF"/>
    <w:rsid w:val="00244D47"/>
    <w:rsid w:val="0032229B"/>
    <w:rsid w:val="003D6AE4"/>
    <w:rsid w:val="005545C5"/>
    <w:rsid w:val="00651819"/>
    <w:rsid w:val="009F2835"/>
    <w:rsid w:val="00A10AEF"/>
    <w:rsid w:val="00A13606"/>
    <w:rsid w:val="00D252CE"/>
    <w:rsid w:val="00FC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C1599"/>
  <w15:docId w15:val="{E8E2A38C-B306-4F63-99A4-E9DECC93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u w:val="single" w:color="000000"/>
    </w:rPr>
  </w:style>
  <w:style w:type="paragraph" w:styleId="a4">
    <w:name w:val="List Paragraph"/>
    <w:basedOn w:val="a"/>
    <w:uiPriority w:val="1"/>
    <w:qFormat/>
    <w:pPr>
      <w:ind w:left="120"/>
    </w:pPr>
    <w:rPr>
      <w:u w:val="single" w:color="000000"/>
    </w:rPr>
  </w:style>
  <w:style w:type="paragraph" w:customStyle="1" w:styleId="TableParagraph">
    <w:name w:val="Table Paragraph"/>
    <w:basedOn w:val="a"/>
    <w:uiPriority w:val="1"/>
    <w:qFormat/>
  </w:style>
  <w:style w:type="character" w:styleId="a5">
    <w:name w:val="Hyperlink"/>
    <w:basedOn w:val="a0"/>
    <w:uiPriority w:val="99"/>
    <w:unhideWhenUsed/>
    <w:rsid w:val="00100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ko.Nakashima.JA@fe.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Microsoft Word - STATEMENT OF WORK_FY17 TPD Laundry Service</vt:lpstr>
    </vt:vector>
  </TitlesOfParts>
  <Company>U.S. Department of Defense</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WORK_FY17 TPD Laundry Service</dc:title>
  <dc:creator>Kazuya.Iwanaga.JA</dc:creator>
  <cp:lastModifiedBy>馬場 麻由美</cp:lastModifiedBy>
  <cp:revision>2</cp:revision>
  <dcterms:created xsi:type="dcterms:W3CDTF">2021-09-24T00:33:00Z</dcterms:created>
  <dcterms:modified xsi:type="dcterms:W3CDTF">2021-09-24T00:33:00Z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PScript5.dll Version 5.2.2</vt:lpwstr>
  </property>
  <property fmtid="{D5CDD505-2E9C-101B-9397-08002B2CF9AE}" pid="4" name="LastSaved">
    <vt:filetime>2018-08-15T00:00:00Z</vt:filetime>
  </property>
</Properties>
</file>