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6A74" w14:textId="6C08355C" w:rsidR="00932996" w:rsidRDefault="00FD136D">
      <w:r>
        <w:rPr>
          <w:noProof/>
        </w:rPr>
        <w:drawing>
          <wp:inline distT="0" distB="0" distL="0" distR="0" wp14:anchorId="0AA6A7A4" wp14:editId="116244D6">
            <wp:extent cx="5400040" cy="3595791"/>
            <wp:effectExtent l="0" t="0" r="0" b="5080"/>
            <wp:docPr id="1" name="図 1" descr="Xeneta launches reefer container rates as part of its ocean freight rate  benchmarking platform - The Load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eneta launches reefer container rates as part of its ocean freight rate  benchmarking platform - The Loadst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5FC">
        <w:rPr>
          <w:noProof/>
        </w:rPr>
        <w:drawing>
          <wp:inline distT="0" distB="0" distL="0" distR="0" wp14:anchorId="4C384D14" wp14:editId="26F1C944">
            <wp:extent cx="2537460" cy="17983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5FC">
        <w:rPr>
          <w:rFonts w:hint="eastAsia"/>
        </w:rPr>
        <w:t xml:space="preserve">　　　TONGUE</w:t>
      </w:r>
    </w:p>
    <w:sectPr w:rsidR="009329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6D"/>
    <w:rsid w:val="007A51A2"/>
    <w:rsid w:val="00932996"/>
    <w:rsid w:val="00E675FC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52446"/>
  <w15:chartTrackingRefBased/>
  <w15:docId w15:val="{886F984E-6135-47FB-9485-C66D1032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toyo-13</dc:creator>
  <cp:keywords/>
  <dc:description/>
  <cp:lastModifiedBy>馬場 麻由美</cp:lastModifiedBy>
  <cp:revision>2</cp:revision>
  <cp:lastPrinted>2021-08-17T05:48:00Z</cp:lastPrinted>
  <dcterms:created xsi:type="dcterms:W3CDTF">2021-08-17T05:49:00Z</dcterms:created>
  <dcterms:modified xsi:type="dcterms:W3CDTF">2021-08-17T05:49:00Z</dcterms:modified>
</cp:coreProperties>
</file>